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A3" w:rsidRPr="00650E92" w:rsidRDefault="00D03EA3" w:rsidP="00D03EA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AU" w:eastAsia="bg-BG"/>
        </w:rPr>
      </w:pPr>
      <w:r w:rsidRPr="00650E92">
        <w:rPr>
          <w:rFonts w:ascii="Times New Roman" w:eastAsia="Times New Roman" w:hAnsi="Times New Roman" w:cs="Times New Roman"/>
          <w:b/>
          <w:spacing w:val="42"/>
          <w:kern w:val="36"/>
          <w:sz w:val="32"/>
          <w:szCs w:val="32"/>
          <w:lang w:val="en-AU" w:eastAsia="bg-BG"/>
        </w:rPr>
        <w:t>МИНИСТЕРСТВО НА ВЪТРЕШНИТЕ РАБОТИ</w:t>
      </w:r>
    </w:p>
    <w:p w:rsidR="00D03EA3" w:rsidRPr="00650E92" w:rsidRDefault="00D03EA3" w:rsidP="00D0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</w:pPr>
    </w:p>
    <w:p w:rsidR="00D03EA3" w:rsidRDefault="00D03EA3" w:rsidP="00D03EA3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52"/>
          <w:kern w:val="36"/>
          <w:sz w:val="40"/>
          <w:szCs w:val="40"/>
          <w:lang w:eastAsia="bg-BG"/>
        </w:rPr>
      </w:pPr>
    </w:p>
    <w:p w:rsidR="00470DB0" w:rsidRPr="00650E92" w:rsidRDefault="00470DB0" w:rsidP="00D03EA3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52"/>
          <w:kern w:val="36"/>
          <w:sz w:val="40"/>
          <w:szCs w:val="40"/>
          <w:lang w:eastAsia="bg-BG"/>
        </w:rPr>
      </w:pPr>
    </w:p>
    <w:p w:rsidR="00D03EA3" w:rsidRPr="00650E92" w:rsidRDefault="00D03EA3" w:rsidP="00D03EA3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52"/>
          <w:kern w:val="36"/>
          <w:sz w:val="40"/>
          <w:szCs w:val="40"/>
          <w:lang w:eastAsia="bg-BG"/>
        </w:rPr>
      </w:pPr>
    </w:p>
    <w:p w:rsidR="00D03EA3" w:rsidRPr="00650E92" w:rsidRDefault="00D03EA3" w:rsidP="00D03EA3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52"/>
          <w:kern w:val="36"/>
          <w:sz w:val="40"/>
          <w:szCs w:val="40"/>
          <w:lang w:val="en-AU" w:eastAsia="bg-BG"/>
        </w:rPr>
      </w:pPr>
      <w:r w:rsidRPr="00650E92">
        <w:rPr>
          <w:rFonts w:ascii="Times New Roman" w:eastAsia="Times New Roman" w:hAnsi="Times New Roman" w:cs="Times New Roman"/>
          <w:spacing w:val="52"/>
          <w:kern w:val="36"/>
          <w:sz w:val="40"/>
          <w:szCs w:val="40"/>
          <w:lang w:val="en-AU" w:eastAsia="bg-BG"/>
        </w:rPr>
        <w:t>ЗАПОВЕД</w:t>
      </w:r>
    </w:p>
    <w:p w:rsidR="00D03EA3" w:rsidRPr="00650E92" w:rsidRDefault="00D03EA3" w:rsidP="00D03EA3">
      <w:pPr>
        <w:shd w:val="clear" w:color="auto" w:fill="FFFFFF"/>
        <w:tabs>
          <w:tab w:val="left" w:leader="dot" w:pos="1771"/>
          <w:tab w:val="left" w:leader="do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</w:pPr>
    </w:p>
    <w:p w:rsidR="00D03EA3" w:rsidRPr="00650E92" w:rsidRDefault="00B536C5" w:rsidP="00D03EA3">
      <w:pPr>
        <w:spacing w:after="0" w:line="320" w:lineRule="exact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B536C5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№ 8121К-1010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4</w:t>
      </w:r>
      <w:r w:rsidRPr="00B536C5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/26.10.2020 г.</w:t>
      </w:r>
    </w:p>
    <w:p w:rsidR="00D03EA3" w:rsidRPr="00650E92" w:rsidRDefault="00D03EA3" w:rsidP="00D03EA3">
      <w:pPr>
        <w:spacing w:after="0" w:line="320" w:lineRule="exact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spacing w:after="0" w:line="320" w:lineRule="exact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</w:pPr>
    </w:p>
    <w:p w:rsidR="00D03EA3" w:rsidRPr="00650E92" w:rsidRDefault="00D03EA3" w:rsidP="00D03EA3">
      <w:pPr>
        <w:spacing w:after="0" w:line="320" w:lineRule="exact"/>
        <w:ind w:left="1560" w:hanging="1560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ОТНОСНО: Обявяване на конкурс за назначаване на държавна служба в МВР</w:t>
      </w:r>
    </w:p>
    <w:p w:rsidR="00D03EA3" w:rsidRPr="00650E92" w:rsidRDefault="00D03EA3" w:rsidP="00D03EA3">
      <w:pPr>
        <w:spacing w:after="0" w:line="320" w:lineRule="exac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5242AB" w:rsidRPr="00650E92" w:rsidRDefault="005242AB" w:rsidP="005242AB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На основание чл. 156, ал. 1, ал. 5 и ал. 6 от Закона за Министерството на вътрешните работи и Наредба № 8121з-344 от 25 юли 2014 г. за назначаване на държавна служба в Министерството на вътрешните работи,</w:t>
      </w:r>
    </w:p>
    <w:p w:rsidR="005242AB" w:rsidRPr="00650E92" w:rsidRDefault="005242AB" w:rsidP="005242AB">
      <w:pPr>
        <w:spacing w:after="0" w:line="320" w:lineRule="exact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5242AB" w:rsidRPr="00650E92" w:rsidRDefault="005242AB" w:rsidP="005242AB">
      <w:pPr>
        <w:spacing w:after="0" w:line="300" w:lineRule="exac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32"/>
          <w:szCs w:val="32"/>
          <w:lang w:eastAsia="bg-BG"/>
        </w:rPr>
        <w:t>ОБЯВЯВАМ:</w:t>
      </w:r>
    </w:p>
    <w:p w:rsidR="005242AB" w:rsidRPr="00650E92" w:rsidRDefault="005242AB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5242AB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NZ" w:eastAsia="bg-BG"/>
        </w:rPr>
        <w:t>I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="00D03EA3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К</w:t>
      </w:r>
      <w:r w:rsidR="00D03EA3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онкурс за назначаване на държавна служба в Главна дирекция ,,Пожарна безопасност и защита на населението” - МВР за вакантни младши изпълнителски длъжности, за които се изисква задължителна първоначална професионална подготовка, както следва:</w:t>
      </w:r>
    </w:p>
    <w:p w:rsidR="005242AB" w:rsidRPr="00650E92" w:rsidRDefault="005242AB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6513A" w:rsidRPr="00650E92" w:rsidRDefault="00D6513A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РЕГИОНАЛНА ДИРЕКЦИЯ „ПОЖАРНА БЕЗОПАСНОСТ И ЗАЩИТА НА НАСЕЛЕНИЕТО” - ДОБРИЧ</w:t>
      </w:r>
    </w:p>
    <w:p w:rsidR="00470DB0" w:rsidRDefault="00470DB0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</w:p>
    <w:p w:rsidR="00D6513A" w:rsidRPr="00650E92" w:rsidRDefault="00D6513A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РАЙОННА СЛУЖБА „ПОЖАРНА БЕЗОПАСНОСТ И ЗАЩИТА НА НАСЕЛЕНИЕТО” - ДОБРИЧ</w:t>
      </w:r>
    </w:p>
    <w:p w:rsidR="00D6513A" w:rsidRPr="00650E92" w:rsidRDefault="00D6513A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- водач на специален автомобил ІІ - І степен, той и пожарникар - 1 (една) вакантна длъжност;</w:t>
      </w:r>
    </w:p>
    <w:p w:rsidR="00D6513A" w:rsidRPr="00650E92" w:rsidRDefault="00D6513A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</w:p>
    <w:p w:rsidR="00D6513A" w:rsidRPr="00650E92" w:rsidRDefault="00D6513A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РАЙОННА СЛУЖБА „ПОЖАРНА БЕЗОПАСНОСТ И ЗАЩИТА НА НАСЕЛЕНИЕТО” - ШАБЛА</w:t>
      </w:r>
    </w:p>
    <w:p w:rsidR="00D6513A" w:rsidRPr="00650E92" w:rsidRDefault="00D6513A" w:rsidP="00D651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 xml:space="preserve">- пожарникар </w:t>
      </w:r>
      <w:r w:rsidR="00470DB0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-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 xml:space="preserve"> старши пожарникар </w:t>
      </w:r>
      <w:r w:rsidR="00470DB0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-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 xml:space="preserve"> 1 (една) вакантна длъжност.</w:t>
      </w:r>
    </w:p>
    <w:p w:rsidR="00D03EA3" w:rsidRPr="00650E92" w:rsidRDefault="00D03EA3" w:rsidP="0078553A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</w:p>
    <w:p w:rsidR="00D03EA3" w:rsidRPr="00650E92" w:rsidRDefault="00D03EA3" w:rsidP="00D03EA3">
      <w:pPr>
        <w:tabs>
          <w:tab w:val="left" w:pos="1418"/>
          <w:tab w:val="left" w:pos="1600"/>
        </w:tabs>
        <w:spacing w:after="0" w:line="320" w:lineRule="exact"/>
        <w:ind w:firstLine="130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II</w:t>
      </w:r>
      <w:bookmarkStart w:id="0" w:name="_GoBack"/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 Кандидатите за участие в конкурса трябва да са дееспособни физически лица, които отговарят на следните изисквания:</w:t>
      </w:r>
    </w:p>
    <w:p w:rsidR="00D03EA3" w:rsidRPr="00650E92" w:rsidRDefault="00D03EA3" w:rsidP="00D03EA3">
      <w:pPr>
        <w:tabs>
          <w:tab w:val="left" w:pos="2520"/>
        </w:tabs>
        <w:spacing w:after="0" w:line="320" w:lineRule="exact"/>
        <w:ind w:firstLine="1300"/>
        <w:rPr>
          <w:rFonts w:ascii="Times New Roman" w:eastAsia="Times New Roman" w:hAnsi="Times New Roman" w:cs="Times New Roman"/>
          <w:kern w:val="36"/>
          <w:sz w:val="24"/>
          <w:szCs w:val="24"/>
          <w:lang w:eastAsia="x-none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x-none"/>
        </w:rPr>
        <w:t>1. Да имат само българско гражданство;</w:t>
      </w:r>
    </w:p>
    <w:p w:rsidR="00D03EA3" w:rsidRPr="00650E92" w:rsidRDefault="00D03EA3" w:rsidP="00D03EA3">
      <w:pPr>
        <w:spacing w:after="0" w:line="320" w:lineRule="exact"/>
        <w:ind w:firstLine="1300"/>
        <w:jc w:val="both"/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2. Да не са осъждани за умишлено престъпление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 xml:space="preserve"> от общ характер, независимо от реабилитацията;</w:t>
      </w:r>
    </w:p>
    <w:p w:rsidR="00D03EA3" w:rsidRPr="00650E92" w:rsidRDefault="00D03EA3" w:rsidP="00D03EA3">
      <w:pPr>
        <w:spacing w:after="0" w:line="320" w:lineRule="exact"/>
        <w:ind w:firstLine="1300"/>
        <w:jc w:val="both"/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>3. Да не са привлечени като обвиняеми или не са подсъдими за умишлено престъпление от общ характер.</w:t>
      </w: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>4. Специфични изисквания:</w:t>
      </w:r>
    </w:p>
    <w:p w:rsidR="00D03EA3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4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.1. Да не са по-възрастни от 40 (четиридесет) години към датата на обявяване на конкурса (</w:t>
      </w:r>
      <w:r w:rsidR="00766483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изискването за възраст не се прилага за кандидатите, които са бивши държавни служители на МВР, заемали длъжности по ЗМВР, или настоящи служители в МВР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);</w:t>
      </w:r>
    </w:p>
    <w:p w:rsidR="00470DB0" w:rsidRDefault="00470DB0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lastRenderedPageBreak/>
        <w:t>4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.2. Да притежават средно образование; </w:t>
      </w:r>
    </w:p>
    <w:p w:rsidR="00D03EA3" w:rsidRPr="00650E92" w:rsidRDefault="00D03EA3" w:rsidP="00D03EA3">
      <w:pPr>
        <w:autoSpaceDE w:val="0"/>
        <w:autoSpaceDN w:val="0"/>
        <w:adjustRightInd w:val="0"/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650E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650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отговарят на минималните изисквания за физическа годност, определени съгласно специализираните методики за изследване на физическата годност на кандидатите за назначаване на държавна служба в МВР; 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4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4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  <w:t>. Да отговарят на минималните изисквания за психологична пригодност, определени съгласно специализираната методика за психологично изследване на кандидатите за назначаване на държавна служба в МВР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;</w:t>
      </w:r>
    </w:p>
    <w:p w:rsidR="00766483" w:rsidRPr="00650E92" w:rsidRDefault="0078553A" w:rsidP="00D6513A">
      <w:pPr>
        <w:tabs>
          <w:tab w:val="left" w:pos="1122"/>
        </w:tabs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4.5. Да притежават свидетелство за управление на МПС категория С и да не са лишавани от право да управляват моторно превозно средство за нарушение на Закона за движението по пътищата през последните 3 години - за длъжността „водач на специален автомобил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ІІ-І степен, той и пожарникар”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5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. Да отговарят на медицинските изисквания за работа в МВР,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 xml:space="preserve">съгласно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Наредба № 8121з-345 от 25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x-none"/>
        </w:rPr>
        <w:t xml:space="preserve">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 xml:space="preserve">юли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2014 г. за определяне на медицинските изисквания за работа в Министерството на вътрешните работи.</w:t>
      </w:r>
    </w:p>
    <w:p w:rsidR="00650E92" w:rsidRDefault="00650E92" w:rsidP="00D03EA3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widowControl w:val="0"/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ІІІ. Необходими документи и срок за подаването им:</w:t>
      </w: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1. В 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14 (четиринадесет) дневен срок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, считано от деня следващ публикуването на обявлението за конкурса по реда на чл</w:t>
      </w:r>
      <w:r w:rsidR="005242AB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156, ал</w:t>
      </w:r>
      <w:r w:rsidR="005242AB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6 от Закона за Министерството на вътрешните работи, кандидатите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 xml:space="preserve">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подават заявление за участие в конкурса (по образец), попълват анкетна карта (по образец) и представят следните документи:</w:t>
      </w:r>
    </w:p>
    <w:p w:rsidR="00D03EA3" w:rsidRPr="00650E92" w:rsidRDefault="00D03EA3" w:rsidP="00D03EA3">
      <w:pPr>
        <w:tabs>
          <w:tab w:val="left" w:pos="0"/>
          <w:tab w:val="left" w:pos="1683"/>
        </w:tabs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50E92"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Pr="00650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483" w:rsidRPr="00650E9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50E92">
        <w:rPr>
          <w:rFonts w:ascii="Times New Roman" w:eastAsia="Times New Roman" w:hAnsi="Times New Roman" w:cs="Times New Roman"/>
          <w:sz w:val="24"/>
          <w:szCs w:val="24"/>
          <w:lang w:val="ru-RU"/>
        </w:rPr>
        <w:t>ична карта;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1.2. Нотариално заверено копие на диплома за завършено средно образование (при издадена диплома от чуждестранно учебно заведение - удостоверение за признато образование);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1.3. Декларация, че кандидатът има само българско гражданство (по образец);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1.4. Декларация, че кандидатът не е осъждан за умишлено престъпление от общ характер, независимо от реабилитацията;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1.5. Декларация, че кандидатът не е привлечен като обвиняем и не е подсъдим за умишлено престъпление от общ характер;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1.6. Искане за признаване валидността на резултати и заключения от изследвания при предходни конкурси </w:t>
      </w:r>
      <w:r w:rsidR="000317C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-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в случаите по чл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3а, ал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1 и 2 от Наредба № 8121з-344/25.07.2014 г.</w:t>
      </w:r>
      <w:r w:rsidR="000317CA" w:rsidRPr="00650E92">
        <w:rPr>
          <w:rFonts w:ascii="Times New Roman" w:hAnsi="Times New Roman"/>
          <w:sz w:val="24"/>
          <w:szCs w:val="24"/>
        </w:rPr>
        <w:t xml:space="preserve"> - по желание на кандидата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1.7. Искане за признаване валидността на медицинско свидетелство със заключение „годен” - в случаите на чл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8, ал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2 от Наредба № 8121з-345/25.07.2014 г.</w:t>
      </w:r>
      <w:r w:rsidR="000317CA" w:rsidRPr="00650E92">
        <w:rPr>
          <w:rFonts w:ascii="Times New Roman" w:hAnsi="Times New Roman"/>
          <w:sz w:val="24"/>
          <w:szCs w:val="24"/>
        </w:rPr>
        <w:t xml:space="preserve"> - по желание на кандидата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;</w:t>
      </w:r>
    </w:p>
    <w:p w:rsidR="0078553A" w:rsidRPr="00650E92" w:rsidRDefault="0078553A" w:rsidP="0078553A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1.</w:t>
      </w:r>
      <w:r w:rsidR="00C33592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8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. Свидетелство за управление на МПС категория С и документ от пътна полиция при СДВР или ОД на МВР, удостоверяващ, че кандидатът не е лишаван от право да управлява моторно превозно средство за нарушение на Закона за движение по пътищата през последните 3 години - за длъжността „водач на специален автомобил ІІ-І степен, той и пожарникар”;</w:t>
      </w:r>
    </w:p>
    <w:p w:rsidR="00D03EA3" w:rsidRPr="00650E92" w:rsidRDefault="00D03EA3" w:rsidP="00D03EA3">
      <w:pPr>
        <w:spacing w:after="0" w:line="320" w:lineRule="exact"/>
        <w:ind w:firstLine="17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1.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9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. Други документи, съобразно специфичните изисквания на конкурса. </w:t>
      </w: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2. В заявлението по т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1 кандидатът посочва длъжността и структурата, за която кандидатства, като в конкурса се допуска участие само за една длъжност.</w:t>
      </w: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lastRenderedPageBreak/>
        <w:t xml:space="preserve">3. 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Място за подаване на документи: </w:t>
      </w:r>
      <w:r w:rsidR="007855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„Човешки ресурси” на Регионална дирекция „Пожарна безопасност и защита на населението” - Добрич, всеки работен ден от 09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:</w:t>
      </w:r>
      <w:r w:rsidR="007855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00 ч. до 12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:</w:t>
      </w:r>
      <w:r w:rsidR="007855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00 ч. на адрес: гр. Добрич, бул. ,,25-ти септември ” № 72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="00650E92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Т</w:t>
      </w:r>
      <w:r w:rsidR="007855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елефон за връзка - 058/658-122/.</w:t>
      </w:r>
    </w:p>
    <w:p w:rsidR="00D03EA3" w:rsidRPr="00650E92" w:rsidRDefault="00D03EA3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4. Не се приемат документи, подадени след срока по т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1.</w:t>
      </w:r>
    </w:p>
    <w:p w:rsidR="00D03EA3" w:rsidRPr="00650E92" w:rsidRDefault="00D03EA3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5. В сроковете по чл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16 от Наредба рег. № 8121з - 344/25.07.2014 г., кандидатите се явяват пред експертната лекарска комисия за медицинско освидетелстване, съгласно Наредба № 8121з-345 от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 xml:space="preserve">25 юли 2014 г.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за определяне на медицинските изисквания за работа в Министерството на вътрешните работи.</w:t>
      </w:r>
    </w:p>
    <w:p w:rsidR="00D03EA3" w:rsidRPr="00650E92" w:rsidRDefault="00D03EA3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>В същия срок експертната лекарска комисия да изпрати по служебен път медицинските свидетелства на кандидатите до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</w:t>
      </w:r>
      <w:r w:rsidR="005C4B2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Регионална дирекция ,,Пожарна безопасност и защита на населението” - </w:t>
      </w:r>
      <w:r w:rsidR="007855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Добрич</w:t>
      </w:r>
      <w:r w:rsidR="005C4B2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</w:p>
    <w:p w:rsidR="00D03EA3" w:rsidRPr="00650E92" w:rsidRDefault="00D03EA3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6.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 xml:space="preserve">След изтичане на крайния срок за подаване на документите, </w:t>
      </w:r>
      <w:r w:rsidR="005C4B2A"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 xml:space="preserve">,,Човешки ресурси” на Регионална дирекция ,,Пожарна безопасност и защита на населението” - </w:t>
      </w:r>
      <w:r w:rsidR="0078553A"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 xml:space="preserve">Добрич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>да изпрати обобщена справка за набраните кандидати, съгласно приложение № 5 към чл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 xml:space="preserve"> 15, ал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 xml:space="preserve"> 1, т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 xml:space="preserve"> 5 от Наредба № 8121з-344/25.07.2014 г. до Института по психология - МВР, ЦБПС при Академията на МВР и дирекция „Човешки ресурси” - МВР.</w:t>
      </w:r>
    </w:p>
    <w:p w:rsidR="00D6513A" w:rsidRPr="00650E92" w:rsidRDefault="00D6513A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u w:val="single"/>
          <w:lang w:eastAsia="bg-BG"/>
        </w:rPr>
      </w:pPr>
      <w:r w:rsidRPr="00650E92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bg-BG"/>
        </w:rPr>
        <w:t>ІV.</w:t>
      </w:r>
      <w:r w:rsidRPr="00650E92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 w:eastAsia="bg-BG"/>
        </w:rPr>
        <w:t xml:space="preserve"> </w:t>
      </w:r>
      <w:r w:rsidRPr="00650E92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bg-BG"/>
        </w:rPr>
        <w:t>К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онкурсни етапи:</w:t>
      </w:r>
    </w:p>
    <w:p w:rsidR="00D03EA3" w:rsidRPr="00650E92" w:rsidRDefault="00D03EA3" w:rsidP="00DA6B6F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Изследване на физическата годност.</w:t>
      </w:r>
    </w:p>
    <w:p w:rsidR="00D03EA3" w:rsidRPr="00650E92" w:rsidRDefault="00D03EA3" w:rsidP="00D03EA3">
      <w:pPr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Изследването на физическата годност се провежда в гр. София на Спортен комплекс „Раковски”, съгласно Таблица № 2 от Специализираната методика за изследване на физическата годност на кандидатите за назначаване на държавна служба в МВР, Приложение 2 към чл.3, ал.1, т.3 от Наредба рег. № 8121з - 344/25.07.2014 г. за назначаване на държавна служба в Министерството на вътрешните работи, както следва:</w:t>
      </w:r>
    </w:p>
    <w:p w:rsidR="00D03EA3" w:rsidRPr="00650E92" w:rsidRDefault="00D03EA3" w:rsidP="00D03EA3">
      <w:pPr>
        <w:tabs>
          <w:tab w:val="left" w:pos="1683"/>
          <w:tab w:val="left" w:pos="7655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AU" w:eastAsia="bg-BG"/>
        </w:rPr>
        <w:t xml:space="preserve">Таблица </w:t>
      </w:r>
      <w:r w:rsidRPr="00650E92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g-BG"/>
        </w:rPr>
        <w:t>2</w:t>
      </w:r>
    </w:p>
    <w:p w:rsidR="00D6513A" w:rsidRPr="00650E92" w:rsidRDefault="00D6513A" w:rsidP="00D03EA3">
      <w:pPr>
        <w:tabs>
          <w:tab w:val="left" w:pos="1683"/>
          <w:tab w:val="left" w:pos="7655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g-BG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1"/>
        <w:gridCol w:w="911"/>
        <w:gridCol w:w="1195"/>
        <w:gridCol w:w="1276"/>
        <w:gridCol w:w="1276"/>
        <w:gridCol w:w="1418"/>
        <w:gridCol w:w="1953"/>
      </w:tblGrid>
      <w:tr w:rsidR="00650E92" w:rsidRPr="00650E92" w:rsidTr="00601D8E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Точкова система за оценка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Тестова батерия</w:t>
            </w: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  <w:t>Скок на дължина от място (см)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Гладко бягане 800</w:t>
            </w: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м (мин)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ru-RU" w:eastAsia="bg-BG"/>
              </w:rPr>
              <w:t>Преодоляване на 60 метрова пътека с препятствия (сек)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ru-RU" w:eastAsia="bg-BG"/>
              </w:rPr>
              <w:t xml:space="preserve">Изкачване по пожарникарска стълба </w:t>
            </w:r>
          </w:p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ru-RU" w:eastAsia="bg-BG"/>
              </w:rPr>
              <w:t>7 м</w:t>
            </w: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мъже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жени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мъже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жени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мъже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жени</w:t>
            </w:r>
          </w:p>
        </w:tc>
        <w:tc>
          <w:tcPr>
            <w:tcW w:w="195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</w:pPr>
          </w:p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bg-BG"/>
              </w:rPr>
              <w:t>При неизпълнение или проявени колебание и страх на кандидатът се налага наказание с отнемане на 10 точки от набрания сбор от другите три теста.</w:t>
            </w: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sym w:font="Symbol" w:char="00B3"/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245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sym w:font="Symbol" w:char="00B3"/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21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val="en-AU" w:eastAsia="bg-BG"/>
              </w:rPr>
              <w:t>t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sym w:font="Symbol" w:char="00A3"/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3.10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val="en-AU" w:eastAsia="bg-BG"/>
              </w:rPr>
              <w:t>t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sym w:font="Symbol" w:char="00A3"/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3.20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val="en-AU" w:eastAsia="bg-BG"/>
              </w:rPr>
              <w:t>t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sym w:font="Symbol" w:char="00A3"/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16.0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val="en-AU" w:eastAsia="bg-BG"/>
              </w:rPr>
              <w:t>t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sym w:font="Symbol" w:char="00A3"/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 xml:space="preserve"> 20.0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9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240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2</w:t>
            </w: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3.11-3.15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3.21-3.25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16.01-17.0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20.1-21.0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8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235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20</w:t>
            </w: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3.16-3.20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3.26-3.30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17.1-18.0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21.1-22.0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7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230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3.21-3.25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3.31-3.35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18.1-19.0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22.1-23.0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6</w:t>
            </w:r>
          </w:p>
        </w:tc>
        <w:tc>
          <w:tcPr>
            <w:tcW w:w="90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225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190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3.26-3.30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3.36-3.40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19.1-20.0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23.1-24.0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5</w:t>
            </w:r>
          </w:p>
        </w:tc>
        <w:tc>
          <w:tcPr>
            <w:tcW w:w="90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220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185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3.31-3.35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3.41-3.45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20.1-21.0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24.1-25.0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4</w:t>
            </w:r>
          </w:p>
        </w:tc>
        <w:tc>
          <w:tcPr>
            <w:tcW w:w="90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215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180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3.36-3.40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3.46-3.50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21.1-22.0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25.1-26.0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3</w:t>
            </w:r>
          </w:p>
        </w:tc>
        <w:tc>
          <w:tcPr>
            <w:tcW w:w="90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210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175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3.41-3.45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3.51-3.55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22.1-23.0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26.1-27.0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650E92" w:rsidRPr="00650E92" w:rsidTr="00601D8E">
        <w:trPr>
          <w:jc w:val="center"/>
        </w:trPr>
        <w:tc>
          <w:tcPr>
            <w:tcW w:w="993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</w:t>
            </w:r>
          </w:p>
        </w:tc>
        <w:tc>
          <w:tcPr>
            <w:tcW w:w="90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205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170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3.46-3.50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3.56-4.00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23.1-24.0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27.1-28.0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  <w:tr w:rsidR="00D6513A" w:rsidRPr="00650E92" w:rsidTr="00601D8E">
        <w:trPr>
          <w:trHeight w:val="70"/>
          <w:jc w:val="center"/>
        </w:trPr>
        <w:tc>
          <w:tcPr>
            <w:tcW w:w="993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</w:t>
            </w:r>
          </w:p>
        </w:tc>
        <w:tc>
          <w:tcPr>
            <w:tcW w:w="90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200</w:t>
            </w:r>
          </w:p>
        </w:tc>
        <w:tc>
          <w:tcPr>
            <w:tcW w:w="911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165</w:t>
            </w:r>
          </w:p>
        </w:tc>
        <w:tc>
          <w:tcPr>
            <w:tcW w:w="1195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3.51-3.55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AU" w:eastAsia="bg-BG"/>
              </w:rPr>
              <w:t>4.01-4.05</w:t>
            </w:r>
          </w:p>
        </w:tc>
        <w:tc>
          <w:tcPr>
            <w:tcW w:w="1276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24.1-25.0</w:t>
            </w:r>
          </w:p>
        </w:tc>
        <w:tc>
          <w:tcPr>
            <w:tcW w:w="1418" w:type="dxa"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  <w:r w:rsidRPr="00650E9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  <w:t>28.1-29.0</w:t>
            </w:r>
          </w:p>
        </w:tc>
        <w:tc>
          <w:tcPr>
            <w:tcW w:w="1953" w:type="dxa"/>
            <w:vMerge/>
            <w:vAlign w:val="center"/>
          </w:tcPr>
          <w:p w:rsidR="00D6513A" w:rsidRPr="00650E92" w:rsidRDefault="00D6513A" w:rsidP="00D6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AU" w:eastAsia="bg-BG"/>
              </w:rPr>
            </w:pPr>
          </w:p>
        </w:tc>
      </w:tr>
    </w:tbl>
    <w:p w:rsidR="00D6513A" w:rsidRPr="00650E92" w:rsidRDefault="00D6513A" w:rsidP="00D03EA3">
      <w:pPr>
        <w:tabs>
          <w:tab w:val="left" w:pos="1683"/>
          <w:tab w:val="left" w:pos="7655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tabs>
          <w:tab w:val="left" w:pos="1683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0"/>
          <w:lang w:val="en-US"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0"/>
          <w:lang w:eastAsia="bg-BG"/>
        </w:rPr>
        <w:t>2. Психологично изследване.</w:t>
      </w:r>
    </w:p>
    <w:p w:rsidR="00D03EA3" w:rsidRPr="00650E92" w:rsidRDefault="00D03EA3" w:rsidP="00D03EA3">
      <w:pPr>
        <w:tabs>
          <w:tab w:val="left" w:pos="1683"/>
        </w:tabs>
        <w:spacing w:after="0" w:line="300" w:lineRule="atLeast"/>
        <w:ind w:firstLine="184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2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.1. Тестово изследване с тест за интелигентност, личностни въпросници и други психодиагностични методи;</w:t>
      </w:r>
    </w:p>
    <w:p w:rsidR="00D03EA3" w:rsidRPr="00650E92" w:rsidRDefault="00D03EA3" w:rsidP="00D03EA3">
      <w:pPr>
        <w:tabs>
          <w:tab w:val="left" w:pos="1683"/>
        </w:tabs>
        <w:spacing w:after="0" w:line="300" w:lineRule="atLeast"/>
        <w:ind w:firstLine="184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2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.2. Психодиагностично интервю.</w:t>
      </w:r>
    </w:p>
    <w:p w:rsidR="00D03EA3" w:rsidRPr="00650E92" w:rsidRDefault="00D03EA3" w:rsidP="00D03EA3">
      <w:pPr>
        <w:tabs>
          <w:tab w:val="left" w:pos="1683"/>
        </w:tabs>
        <w:spacing w:after="0" w:line="300" w:lineRule="atLeas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Кандидатите, покрили психологичните критерии за съответствие с изискванията за длъжността, установени чрез изследването по точка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2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.1, се явяват на психодиагностично интервю.</w:t>
      </w:r>
    </w:p>
    <w:p w:rsidR="00D03EA3" w:rsidRPr="00650E92" w:rsidRDefault="00D03EA3" w:rsidP="00D03EA3">
      <w:pPr>
        <w:tabs>
          <w:tab w:val="left" w:pos="1683"/>
        </w:tabs>
        <w:spacing w:after="0" w:line="300" w:lineRule="atLeas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lastRenderedPageBreak/>
        <w:t xml:space="preserve">Кандидатите, непокрили минималните изисквания за длъжността, установени в изследването по точка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2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1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, не преминават елиминаторния праг на етапа и не се явяват на психодиагностично интервю.</w:t>
      </w:r>
    </w:p>
    <w:p w:rsidR="00D03EA3" w:rsidRPr="00650E92" w:rsidRDefault="00D03EA3" w:rsidP="00D03EA3">
      <w:pPr>
        <w:tabs>
          <w:tab w:val="left" w:pos="1683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3. Заключително интервю.</w:t>
      </w:r>
    </w:p>
    <w:p w:rsidR="00470DB0" w:rsidRDefault="00470DB0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V. Срок за провеждане на конкурсната процедура - 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до 5 (пет) месеца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от неговото обявяване.</w:t>
      </w:r>
    </w:p>
    <w:p w:rsidR="00D03EA3" w:rsidRDefault="00D03EA3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VІ. ОПРЕДЕЛЯМ състав на конкурсната комисия:</w:t>
      </w:r>
    </w:p>
    <w:p w:rsidR="00B536C5" w:rsidRPr="00650E92" w:rsidRDefault="00B536C5" w:rsidP="00D03EA3">
      <w:pPr>
        <w:tabs>
          <w:tab w:val="left" w:pos="2694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………………………………………………………….</w:t>
      </w:r>
    </w:p>
    <w:p w:rsidR="00D03EA3" w:rsidRPr="00650E92" w:rsidRDefault="00D03EA3" w:rsidP="00D03EA3">
      <w:pPr>
        <w:tabs>
          <w:tab w:val="left" w:pos="5985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VII. Председателят на конкурсната комисия да създаде необходимата организация конкурсната процедура да приключи в обявения срок, като кандидатите бъдат своевременно уведомявани за датите, часа и мястото на провеждане на етапите от конкурсната процедура.</w:t>
      </w:r>
    </w:p>
    <w:p w:rsidR="00616567" w:rsidRPr="00650E92" w:rsidRDefault="00616567" w:rsidP="00D03EA3">
      <w:pPr>
        <w:tabs>
          <w:tab w:val="left" w:pos="5985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</w:pPr>
    </w:p>
    <w:p w:rsidR="00D03EA3" w:rsidRPr="00650E92" w:rsidRDefault="00D03EA3" w:rsidP="00D03EA3">
      <w:pPr>
        <w:tabs>
          <w:tab w:val="left" w:pos="5985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VII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I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 Заповедта за обявяване на конкурса да се публикува в електронната страница на дирекция „Човешки ресурси” - МВР в Интранет и Интернет и се изпрати на структурите по чл</w:t>
      </w:r>
      <w:r w:rsidR="0050648B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37 от ЗМВР за сведение, изпълнение и обявяване на общодостъпни места.</w:t>
      </w:r>
    </w:p>
    <w:p w:rsidR="00616567" w:rsidRPr="00650E92" w:rsidRDefault="00616567" w:rsidP="00D03EA3">
      <w:pPr>
        <w:tabs>
          <w:tab w:val="left" w:pos="5985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tabs>
          <w:tab w:val="left" w:pos="5985"/>
        </w:tabs>
        <w:spacing w:after="0" w:line="320" w:lineRule="exact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bg-BG"/>
        </w:rPr>
        <w:t>I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Х. 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val="en-AU" w:eastAsia="bg-BG"/>
        </w:rPr>
        <w:t>Главна дирекция ,,Пожарна безопасност и защита на населението” - МВР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да публикува обявление за конкурса по реда на чл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156, ал</w:t>
      </w:r>
      <w:r w:rsidR="003B2C56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6 от ЗМВР.</w:t>
      </w:r>
    </w:p>
    <w:p w:rsidR="00D03EA3" w:rsidRPr="00650E92" w:rsidRDefault="00D03EA3" w:rsidP="00D03EA3">
      <w:pPr>
        <w:tabs>
          <w:tab w:val="left" w:pos="5985"/>
        </w:tabs>
        <w:spacing w:after="0" w:line="320" w:lineRule="exac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tabs>
          <w:tab w:val="left" w:pos="5985"/>
        </w:tabs>
        <w:spacing w:after="0" w:line="320" w:lineRule="exac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D03EA3" w:rsidRPr="00650E92" w:rsidRDefault="00D03EA3" w:rsidP="00D03EA3">
      <w:pPr>
        <w:tabs>
          <w:tab w:val="left" w:pos="5985"/>
        </w:tabs>
        <w:spacing w:after="0" w:line="320" w:lineRule="exac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5242AB" w:rsidRPr="00650E92" w:rsidRDefault="005242AB" w:rsidP="005242AB">
      <w:pPr>
        <w:spacing w:after="0" w:line="320" w:lineRule="exact"/>
        <w:ind w:left="558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МИНИСТЪР:   </w:t>
      </w:r>
      <w:r w:rsidR="00B536C5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/п/</w:t>
      </w:r>
    </w:p>
    <w:p w:rsidR="005242AB" w:rsidRPr="00650E92" w:rsidRDefault="005242AB" w:rsidP="005242AB">
      <w:pPr>
        <w:spacing w:after="0" w:line="320" w:lineRule="exac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766483" w:rsidRPr="00650E92" w:rsidRDefault="005242AB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  <w:r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     </w:t>
      </w:r>
      <w:r w:rsidR="00D6513A" w:rsidRPr="00650E9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Христо Терзийски</w:t>
      </w:r>
    </w:p>
    <w:p w:rsidR="00766483" w:rsidRPr="00650E92" w:rsidRDefault="00766483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bookmarkEnd w:id="0"/>
    <w:p w:rsidR="00766483" w:rsidRPr="00650E92" w:rsidRDefault="00766483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766483" w:rsidRPr="00650E92" w:rsidRDefault="00766483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766483" w:rsidRDefault="00766483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p w:rsidR="00650E92" w:rsidRDefault="00650E92" w:rsidP="00766483">
      <w:pPr>
        <w:spacing w:after="0" w:line="320" w:lineRule="exact"/>
        <w:ind w:left="5580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</w:pPr>
    </w:p>
    <w:sectPr w:rsidR="00650E92" w:rsidSect="00D0135F">
      <w:footerReference w:type="even" r:id="rId7"/>
      <w:footerReference w:type="default" r:id="rId8"/>
      <w:pgSz w:w="11906" w:h="16838" w:code="9"/>
      <w:pgMar w:top="851" w:right="624" w:bottom="284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7A" w:rsidRDefault="0089147A">
      <w:pPr>
        <w:spacing w:after="0" w:line="240" w:lineRule="auto"/>
      </w:pPr>
      <w:r>
        <w:separator/>
      </w:r>
    </w:p>
  </w:endnote>
  <w:endnote w:type="continuationSeparator" w:id="0">
    <w:p w:rsidR="0089147A" w:rsidRDefault="0089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New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B3" w:rsidRDefault="00D03EA3" w:rsidP="00205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CB3" w:rsidRDefault="0089147A" w:rsidP="00804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CD" w:rsidRPr="00205FCD" w:rsidRDefault="00D03EA3" w:rsidP="0074523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205FCD">
      <w:rPr>
        <w:rStyle w:val="PageNumber"/>
        <w:rFonts w:ascii="Times New Roman" w:hAnsi="Times New Roman"/>
        <w:sz w:val="24"/>
        <w:szCs w:val="24"/>
      </w:rPr>
      <w:fldChar w:fldCharType="begin"/>
    </w:r>
    <w:r w:rsidRPr="00205FC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05FCD">
      <w:rPr>
        <w:rStyle w:val="PageNumber"/>
        <w:rFonts w:ascii="Times New Roman" w:hAnsi="Times New Roman"/>
        <w:sz w:val="24"/>
        <w:szCs w:val="24"/>
      </w:rPr>
      <w:fldChar w:fldCharType="separate"/>
    </w:r>
    <w:r w:rsidR="000E1A7B">
      <w:rPr>
        <w:rStyle w:val="PageNumber"/>
        <w:rFonts w:ascii="Times New Roman" w:hAnsi="Times New Roman"/>
        <w:noProof/>
        <w:sz w:val="24"/>
        <w:szCs w:val="24"/>
      </w:rPr>
      <w:t>4</w:t>
    </w:r>
    <w:r w:rsidRPr="00205FCD">
      <w:rPr>
        <w:rStyle w:val="PageNumber"/>
        <w:rFonts w:ascii="Times New Roman" w:hAnsi="Times New Roman"/>
        <w:sz w:val="24"/>
        <w:szCs w:val="24"/>
      </w:rPr>
      <w:fldChar w:fldCharType="end"/>
    </w:r>
  </w:p>
  <w:p w:rsidR="00205FCD" w:rsidRDefault="0089147A" w:rsidP="00205F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7A" w:rsidRDefault="0089147A">
      <w:pPr>
        <w:spacing w:after="0" w:line="240" w:lineRule="auto"/>
      </w:pPr>
      <w:r>
        <w:separator/>
      </w:r>
    </w:p>
  </w:footnote>
  <w:footnote w:type="continuationSeparator" w:id="0">
    <w:p w:rsidR="0089147A" w:rsidRDefault="0089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2039"/>
    <w:multiLevelType w:val="hybridMultilevel"/>
    <w:tmpl w:val="6706EF9E"/>
    <w:lvl w:ilvl="0" w:tplc="234A1B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F"/>
    <w:rsid w:val="000317CA"/>
    <w:rsid w:val="00042E35"/>
    <w:rsid w:val="0006558B"/>
    <w:rsid w:val="000909CB"/>
    <w:rsid w:val="000E1A7B"/>
    <w:rsid w:val="001E7713"/>
    <w:rsid w:val="002F2873"/>
    <w:rsid w:val="003140A3"/>
    <w:rsid w:val="003B2C56"/>
    <w:rsid w:val="00470DB0"/>
    <w:rsid w:val="0050648B"/>
    <w:rsid w:val="005242AB"/>
    <w:rsid w:val="00552F61"/>
    <w:rsid w:val="00591D0F"/>
    <w:rsid w:val="005C4B2A"/>
    <w:rsid w:val="005C740D"/>
    <w:rsid w:val="00613A5F"/>
    <w:rsid w:val="00616567"/>
    <w:rsid w:val="00624193"/>
    <w:rsid w:val="00650E92"/>
    <w:rsid w:val="00681406"/>
    <w:rsid w:val="00766483"/>
    <w:rsid w:val="007712C7"/>
    <w:rsid w:val="00774CEA"/>
    <w:rsid w:val="0078553A"/>
    <w:rsid w:val="00852780"/>
    <w:rsid w:val="0089147A"/>
    <w:rsid w:val="008F47E9"/>
    <w:rsid w:val="009F4E08"/>
    <w:rsid w:val="00A434E9"/>
    <w:rsid w:val="00A56EF0"/>
    <w:rsid w:val="00AD2F4F"/>
    <w:rsid w:val="00AE3522"/>
    <w:rsid w:val="00B536C5"/>
    <w:rsid w:val="00B578D9"/>
    <w:rsid w:val="00BB3F2B"/>
    <w:rsid w:val="00C15B1F"/>
    <w:rsid w:val="00C33592"/>
    <w:rsid w:val="00C506B2"/>
    <w:rsid w:val="00D03EA3"/>
    <w:rsid w:val="00D17AC4"/>
    <w:rsid w:val="00D438B4"/>
    <w:rsid w:val="00D63AF4"/>
    <w:rsid w:val="00D6513A"/>
    <w:rsid w:val="00DA53AB"/>
    <w:rsid w:val="00DA6B6F"/>
    <w:rsid w:val="00DC4C50"/>
    <w:rsid w:val="00E63094"/>
    <w:rsid w:val="00E9447D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FEFDC8-1805-44F4-AEAD-7024809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EA3"/>
    <w:pPr>
      <w:tabs>
        <w:tab w:val="center" w:pos="4536"/>
        <w:tab w:val="right" w:pos="9072"/>
      </w:tabs>
      <w:spacing w:after="0" w:line="240" w:lineRule="auto"/>
    </w:pPr>
    <w:rPr>
      <w:rFonts w:ascii="TmsCyrNew" w:eastAsia="Times New Roman" w:hAnsi="TmsCyrNew" w:cs="Times New Roman"/>
      <w:kern w:val="36"/>
      <w:sz w:val="28"/>
      <w:szCs w:val="20"/>
      <w:lang w:val="en-AU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3EA3"/>
    <w:rPr>
      <w:rFonts w:ascii="TmsCyrNew" w:eastAsia="Times New Roman" w:hAnsi="TmsCyrNew" w:cs="Times New Roman"/>
      <w:kern w:val="36"/>
      <w:sz w:val="28"/>
      <w:szCs w:val="20"/>
      <w:lang w:val="en-AU" w:eastAsia="x-none"/>
    </w:rPr>
  </w:style>
  <w:style w:type="character" w:styleId="PageNumber">
    <w:name w:val="page number"/>
    <w:uiPriority w:val="99"/>
    <w:rsid w:val="00D03E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 Жечев Герджиков</dc:creator>
  <cp:lastModifiedBy>PR</cp:lastModifiedBy>
  <cp:revision>2</cp:revision>
  <cp:lastPrinted>2019-07-02T05:10:00Z</cp:lastPrinted>
  <dcterms:created xsi:type="dcterms:W3CDTF">2020-11-01T14:48:00Z</dcterms:created>
  <dcterms:modified xsi:type="dcterms:W3CDTF">2020-11-01T14:48:00Z</dcterms:modified>
</cp:coreProperties>
</file>